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1B5482" w14:textId="77777777" w:rsidR="008E07EA" w:rsidRPr="008E07EA" w:rsidRDefault="00967CC1" w:rsidP="008E07EA">
      <w:pPr>
        <w:ind w:firstLine="708"/>
        <w:jc w:val="both"/>
        <w:rPr>
          <w:rFonts w:ascii="Times New Roman" w:hAnsi="Times New Roman" w:cs="Times New Roman"/>
          <w:sz w:val="20"/>
        </w:rPr>
      </w:pPr>
      <w:r w:rsidRPr="008E07EA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A Prefeitura Municipal de Santo Augusto, em atendimento ao §3º do art. 75 da Lei nº. 14.133/2021, torna público para conhecimento dos interessados, o presente aviso da Dispensa de Licitação, visando </w:t>
      </w:r>
      <w:r w:rsidR="008E07EA" w:rsidRPr="008E07EA">
        <w:rPr>
          <w:rFonts w:ascii="Times New Roman" w:hAnsi="Times New Roman" w:cs="Times New Roman"/>
          <w:sz w:val="20"/>
        </w:rPr>
        <w:t>fornecimento de som, iluminação, gerador de energia, cadeiras e grades de contenção para a realização do evento Natal Luz de Santo Augusto, programado para os dias 21, 22 e 23 de dezembro de 2025. O evento conta com programação artística previamente divulgada e depende diretamente de infraestrutura técnica para sua execução segura e adequada.</w:t>
      </w:r>
    </w:p>
    <w:p w14:paraId="76D2500B" w14:textId="6D85A5AA" w:rsidR="001D501D" w:rsidRDefault="00B13B2B" w:rsidP="00D8562A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ascii="Times New Roman" w:hAnsi="Times New Roman" w:cs="Times New Roman"/>
          <w:sz w:val="20"/>
          <w:szCs w:val="20"/>
        </w:rPr>
      </w:pPr>
      <w:r w:rsidRPr="00EA090D">
        <w:rPr>
          <w:rFonts w:ascii="Times New Roman" w:hAnsi="Times New Roman" w:cs="Times New Roman"/>
          <w:sz w:val="20"/>
          <w:szCs w:val="20"/>
        </w:rPr>
        <w:t xml:space="preserve">conforme as seguintes especificações: </w:t>
      </w:r>
    </w:p>
    <w:tbl>
      <w:tblPr>
        <w:tblStyle w:val="Tabelacomgrade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17"/>
        <w:gridCol w:w="8155"/>
      </w:tblGrid>
      <w:tr w:rsidR="008E07EA" w:rsidRPr="006F2CC8" w14:paraId="58E7FF66" w14:textId="77777777" w:rsidTr="008E07EA">
        <w:trPr>
          <w:trHeight w:val="160"/>
        </w:trPr>
        <w:tc>
          <w:tcPr>
            <w:tcW w:w="917" w:type="dxa"/>
            <w:tcBorders>
              <w:top w:val="single" w:sz="4" w:space="0" w:color="auto"/>
            </w:tcBorders>
          </w:tcPr>
          <w:p w14:paraId="2F6B8A91" w14:textId="77777777" w:rsidR="008E07EA" w:rsidRPr="006F2CC8" w:rsidRDefault="008E07EA" w:rsidP="005517A5">
            <w:pPr>
              <w:jc w:val="center"/>
              <w:rPr>
                <w:rFonts w:ascii="Verdana" w:hAnsi="Verdana"/>
                <w:b/>
                <w:bCs/>
                <w:sz w:val="20"/>
              </w:rPr>
            </w:pPr>
            <w:r w:rsidRPr="006F2CC8">
              <w:rPr>
                <w:rFonts w:ascii="Verdana" w:hAnsi="Verdana"/>
                <w:bCs/>
                <w:iCs/>
                <w:color w:val="000000" w:themeColor="text1"/>
                <w:sz w:val="20"/>
              </w:rPr>
              <w:br w:type="page"/>
            </w:r>
            <w:r w:rsidRPr="006F2CC8">
              <w:rPr>
                <w:rFonts w:ascii="Verdana" w:hAnsi="Verdana"/>
                <w:b/>
                <w:bCs/>
                <w:sz w:val="20"/>
              </w:rPr>
              <w:t>ITEM</w:t>
            </w:r>
          </w:p>
        </w:tc>
        <w:tc>
          <w:tcPr>
            <w:tcW w:w="8155" w:type="dxa"/>
            <w:tcBorders>
              <w:top w:val="single" w:sz="4" w:space="0" w:color="auto"/>
            </w:tcBorders>
          </w:tcPr>
          <w:p w14:paraId="2AAB5939" w14:textId="77777777" w:rsidR="008E07EA" w:rsidRPr="006F2CC8" w:rsidRDefault="008E07EA" w:rsidP="005517A5">
            <w:pPr>
              <w:jc w:val="center"/>
              <w:rPr>
                <w:rFonts w:ascii="Verdana" w:hAnsi="Verdana"/>
                <w:b/>
                <w:bCs/>
                <w:sz w:val="20"/>
              </w:rPr>
            </w:pPr>
            <w:r w:rsidRPr="006F2CC8">
              <w:rPr>
                <w:rFonts w:ascii="Verdana" w:hAnsi="Verdana"/>
                <w:b/>
                <w:bCs/>
                <w:sz w:val="20"/>
              </w:rPr>
              <w:t>OBJETO</w:t>
            </w:r>
          </w:p>
        </w:tc>
      </w:tr>
      <w:tr w:rsidR="008E07EA" w:rsidRPr="006F2CC8" w14:paraId="521A277C" w14:textId="77777777" w:rsidTr="008E07EA">
        <w:trPr>
          <w:trHeight w:val="2438"/>
        </w:trPr>
        <w:tc>
          <w:tcPr>
            <w:tcW w:w="917" w:type="dxa"/>
            <w:vAlign w:val="center"/>
          </w:tcPr>
          <w:p w14:paraId="573DCAB0" w14:textId="77777777" w:rsidR="008E07EA" w:rsidRPr="006F2CC8" w:rsidRDefault="008E07EA" w:rsidP="005517A5">
            <w:pPr>
              <w:jc w:val="center"/>
              <w:rPr>
                <w:rFonts w:ascii="Verdana" w:hAnsi="Verdana"/>
                <w:b/>
                <w:sz w:val="20"/>
              </w:rPr>
            </w:pPr>
            <w:r w:rsidRPr="006F2CC8">
              <w:rPr>
                <w:rFonts w:ascii="Verdana" w:hAnsi="Verdana"/>
                <w:b/>
                <w:sz w:val="20"/>
              </w:rPr>
              <w:t>1</w:t>
            </w:r>
          </w:p>
        </w:tc>
        <w:tc>
          <w:tcPr>
            <w:tcW w:w="8155" w:type="dxa"/>
          </w:tcPr>
          <w:p w14:paraId="20E477AE" w14:textId="77777777" w:rsidR="008E07EA" w:rsidRPr="006F2CC8" w:rsidRDefault="008E07EA" w:rsidP="005517A5">
            <w:pPr>
              <w:pStyle w:val="TableParagraph"/>
              <w:ind w:left="57" w:right="113"/>
              <w:jc w:val="both"/>
              <w:rPr>
                <w:rFonts w:ascii="Verdana" w:hAnsi="Verdana" w:cs="Adobe Devanagari"/>
                <w:b/>
                <w:spacing w:val="-2"/>
                <w:sz w:val="20"/>
                <w:szCs w:val="20"/>
              </w:rPr>
            </w:pPr>
            <w:r w:rsidRPr="006F2CC8">
              <w:rPr>
                <w:rFonts w:ascii="Verdana" w:hAnsi="Verdana" w:cs="Adobe Devanagari"/>
                <w:b/>
                <w:sz w:val="20"/>
                <w:szCs w:val="20"/>
              </w:rPr>
              <w:t>Locação</w:t>
            </w:r>
            <w:r w:rsidRPr="006F2CC8">
              <w:rPr>
                <w:rFonts w:ascii="Verdana" w:hAnsi="Verdana" w:cs="Adobe Devanagari"/>
                <w:b/>
                <w:spacing w:val="-9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/>
                <w:sz w:val="20"/>
                <w:szCs w:val="20"/>
              </w:rPr>
              <w:t>de</w:t>
            </w:r>
            <w:r w:rsidRPr="006F2CC8">
              <w:rPr>
                <w:rFonts w:ascii="Verdana" w:hAnsi="Verdana" w:cs="Adobe Devanagari"/>
                <w:b/>
                <w:spacing w:val="-9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/>
                <w:sz w:val="20"/>
                <w:szCs w:val="20"/>
              </w:rPr>
              <w:t>Gerador</w:t>
            </w:r>
            <w:r w:rsidRPr="006F2CC8">
              <w:rPr>
                <w:rFonts w:ascii="Verdana" w:hAnsi="Verdana" w:cs="Adobe Devanagari"/>
                <w:b/>
                <w:spacing w:val="-9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/>
                <w:sz w:val="20"/>
                <w:szCs w:val="20"/>
              </w:rPr>
              <w:t>de</w:t>
            </w:r>
            <w:r w:rsidRPr="006F2CC8">
              <w:rPr>
                <w:rFonts w:ascii="Verdana" w:hAnsi="Verdana" w:cs="Adobe Devanagari"/>
                <w:b/>
                <w:spacing w:val="-9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/>
                <w:sz w:val="20"/>
                <w:szCs w:val="20"/>
              </w:rPr>
              <w:t xml:space="preserve">Energia </w:t>
            </w:r>
            <w:r w:rsidRPr="006F2CC8">
              <w:rPr>
                <w:rFonts w:ascii="Verdana" w:hAnsi="Verdana" w:cs="Adobe Devanagari"/>
                <w:b/>
                <w:spacing w:val="-2"/>
                <w:sz w:val="20"/>
                <w:szCs w:val="20"/>
              </w:rPr>
              <w:t>Descrição:</w:t>
            </w:r>
          </w:p>
          <w:p w14:paraId="77D00E1F" w14:textId="77777777" w:rsidR="008E07EA" w:rsidRPr="006F2CC8" w:rsidRDefault="008E07EA" w:rsidP="005517A5">
            <w:pPr>
              <w:pStyle w:val="TableParagraph"/>
              <w:ind w:left="57" w:right="113"/>
              <w:jc w:val="both"/>
              <w:rPr>
                <w:rFonts w:ascii="Verdana" w:hAnsi="Verdana" w:cs="Adobe Devanagari"/>
                <w:b/>
                <w:spacing w:val="-2"/>
                <w:sz w:val="20"/>
                <w:szCs w:val="20"/>
              </w:rPr>
            </w:pPr>
          </w:p>
          <w:p w14:paraId="03BAB925" w14:textId="77777777" w:rsidR="008E07EA" w:rsidRPr="006F2CC8" w:rsidRDefault="008E07EA" w:rsidP="005517A5">
            <w:pPr>
              <w:pStyle w:val="TableParagraph"/>
              <w:ind w:left="57" w:right="113"/>
              <w:jc w:val="both"/>
              <w:rPr>
                <w:rFonts w:ascii="Verdana" w:hAnsi="Verdana" w:cs="Adobe Devanagari"/>
                <w:b/>
                <w:spacing w:val="-2"/>
                <w:sz w:val="20"/>
                <w:szCs w:val="20"/>
              </w:rPr>
            </w:pPr>
            <w:r w:rsidRPr="006F2CC8">
              <w:rPr>
                <w:rFonts w:ascii="Verdana" w:hAnsi="Verdana" w:cs="Adobe Devanagari"/>
                <w:bCs/>
                <w:sz w:val="20"/>
                <w:szCs w:val="20"/>
              </w:rPr>
              <w:t>Locação</w:t>
            </w:r>
            <w:r w:rsidRPr="006F2CC8">
              <w:rPr>
                <w:rFonts w:ascii="Verdana" w:hAnsi="Verdana" w:cs="Adobe Devanagari"/>
                <w:bCs/>
                <w:spacing w:val="-3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Cs/>
                <w:sz w:val="20"/>
                <w:szCs w:val="20"/>
              </w:rPr>
              <w:t>de</w:t>
            </w:r>
            <w:r w:rsidRPr="006F2CC8">
              <w:rPr>
                <w:rFonts w:ascii="Verdana" w:hAnsi="Verdana" w:cs="Adobe Devanagari"/>
                <w:bCs/>
                <w:spacing w:val="-7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Cs/>
                <w:sz w:val="20"/>
                <w:szCs w:val="20"/>
              </w:rPr>
              <w:t>gerador</w:t>
            </w:r>
            <w:r w:rsidRPr="006F2CC8">
              <w:rPr>
                <w:rFonts w:ascii="Verdana" w:hAnsi="Verdana" w:cs="Adobe Devanagari"/>
                <w:bCs/>
                <w:spacing w:val="-7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Cs/>
                <w:sz w:val="20"/>
                <w:szCs w:val="20"/>
              </w:rPr>
              <w:t>de</w:t>
            </w:r>
            <w:r w:rsidRPr="006F2CC8">
              <w:rPr>
                <w:rFonts w:ascii="Verdana" w:hAnsi="Verdana" w:cs="Adobe Devanagari"/>
                <w:bCs/>
                <w:spacing w:val="-7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Cs/>
                <w:sz w:val="20"/>
                <w:szCs w:val="20"/>
              </w:rPr>
              <w:t>energia</w:t>
            </w:r>
            <w:r w:rsidRPr="006F2CC8">
              <w:rPr>
                <w:rFonts w:ascii="Verdana" w:hAnsi="Verdana" w:cs="Adobe Devanagari"/>
                <w:bCs/>
                <w:spacing w:val="-3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Cs/>
                <w:sz w:val="20"/>
                <w:szCs w:val="20"/>
              </w:rPr>
              <w:t>elétrica, pelo período de três dias,</w:t>
            </w:r>
            <w:r w:rsidRPr="006F2CC8">
              <w:rPr>
                <w:rFonts w:ascii="Verdana" w:hAnsi="Verdana" w:cs="Adobe Devanagari"/>
                <w:bCs/>
                <w:spacing w:val="-3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Cs/>
                <w:sz w:val="20"/>
                <w:szCs w:val="20"/>
              </w:rPr>
              <w:t>com</w:t>
            </w:r>
            <w:r w:rsidRPr="006F2CC8">
              <w:rPr>
                <w:rFonts w:ascii="Verdana" w:hAnsi="Verdana" w:cs="Adobe Devanagari"/>
                <w:bCs/>
                <w:spacing w:val="-4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Cs/>
                <w:sz w:val="20"/>
                <w:szCs w:val="20"/>
              </w:rPr>
              <w:t>as</w:t>
            </w:r>
            <w:r w:rsidRPr="006F2CC8">
              <w:rPr>
                <w:rFonts w:ascii="Verdana" w:hAnsi="Verdana" w:cs="Adobe Devanagari"/>
                <w:bCs/>
                <w:spacing w:val="-6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Cs/>
                <w:sz w:val="20"/>
                <w:szCs w:val="20"/>
              </w:rPr>
              <w:t xml:space="preserve">seguintes </w:t>
            </w:r>
            <w:r w:rsidRPr="006F2CC8">
              <w:rPr>
                <w:rFonts w:ascii="Verdana" w:hAnsi="Verdana" w:cs="Adobe Devanagari"/>
                <w:bCs/>
                <w:spacing w:val="-2"/>
                <w:sz w:val="20"/>
                <w:szCs w:val="20"/>
              </w:rPr>
              <w:t>especificações: G</w:t>
            </w:r>
            <w:r w:rsidRPr="006F2CC8">
              <w:rPr>
                <w:rFonts w:ascii="Verdana" w:hAnsi="Verdana" w:cs="Adobe Devanagari"/>
                <w:bCs/>
                <w:sz w:val="20"/>
                <w:szCs w:val="20"/>
              </w:rPr>
              <w:t>erador</w:t>
            </w:r>
            <w:r w:rsidRPr="006F2CC8">
              <w:rPr>
                <w:rFonts w:ascii="Verdana" w:hAnsi="Verdana" w:cs="Adobe Devanagari"/>
                <w:bCs/>
                <w:spacing w:val="-7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Cs/>
                <w:sz w:val="20"/>
                <w:szCs w:val="20"/>
              </w:rPr>
              <w:t>com</w:t>
            </w:r>
            <w:r w:rsidRPr="006F2CC8">
              <w:rPr>
                <w:rFonts w:ascii="Verdana" w:hAnsi="Verdana" w:cs="Adobe Devanagari"/>
                <w:bCs/>
                <w:spacing w:val="-8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Cs/>
                <w:sz w:val="20"/>
                <w:szCs w:val="20"/>
              </w:rPr>
              <w:t>potência</w:t>
            </w:r>
            <w:r w:rsidRPr="006F2CC8">
              <w:rPr>
                <w:rFonts w:ascii="Verdana" w:hAnsi="Verdana" w:cs="Adobe Devanagari"/>
                <w:bCs/>
                <w:spacing w:val="-9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Cs/>
                <w:sz w:val="20"/>
                <w:szCs w:val="20"/>
              </w:rPr>
              <w:t>compatível</w:t>
            </w:r>
            <w:r w:rsidRPr="006F2CC8">
              <w:rPr>
                <w:rFonts w:ascii="Verdana" w:hAnsi="Verdana" w:cs="Adobe Devanagari"/>
                <w:bCs/>
                <w:spacing w:val="-10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Cs/>
                <w:sz w:val="20"/>
                <w:szCs w:val="20"/>
              </w:rPr>
              <w:t>à</w:t>
            </w:r>
            <w:r w:rsidRPr="006F2CC8">
              <w:rPr>
                <w:rFonts w:ascii="Verdana" w:hAnsi="Verdana" w:cs="Adobe Devanagari"/>
                <w:bCs/>
                <w:spacing w:val="-6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Cs/>
                <w:sz w:val="20"/>
                <w:szCs w:val="20"/>
              </w:rPr>
              <w:t xml:space="preserve">demanda do evento (mínimo de 120 kVA); </w:t>
            </w:r>
            <w:r w:rsidRPr="006F2CC8">
              <w:rPr>
                <w:rFonts w:ascii="Verdana" w:hAnsi="Verdana" w:cs="Adobe Devanagari"/>
                <w:sz w:val="20"/>
                <w:szCs w:val="20"/>
              </w:rPr>
              <w:t>Incluso: quadro de distribuição, cabos, combustível para as horas contratadas, assistência</w:t>
            </w:r>
            <w:r w:rsidRPr="006F2CC8">
              <w:rPr>
                <w:rFonts w:ascii="Verdana" w:hAnsi="Verdana" w:cs="Adobe Devanagari"/>
                <w:spacing w:val="-4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sz w:val="20"/>
                <w:szCs w:val="20"/>
              </w:rPr>
              <w:t>técnica</w:t>
            </w:r>
            <w:r w:rsidRPr="006F2CC8">
              <w:rPr>
                <w:rFonts w:ascii="Verdana" w:hAnsi="Verdana" w:cs="Adobe Devanagari"/>
                <w:spacing w:val="-4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sz w:val="20"/>
                <w:szCs w:val="20"/>
              </w:rPr>
              <w:t>durante</w:t>
            </w:r>
            <w:r w:rsidRPr="006F2CC8">
              <w:rPr>
                <w:rFonts w:ascii="Verdana" w:hAnsi="Verdana" w:cs="Adobe Devanagari"/>
                <w:spacing w:val="-4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sz w:val="20"/>
                <w:szCs w:val="20"/>
              </w:rPr>
              <w:t>o</w:t>
            </w:r>
            <w:r w:rsidRPr="006F2CC8">
              <w:rPr>
                <w:rFonts w:ascii="Verdana" w:hAnsi="Verdana" w:cs="Adobe Devanagari"/>
                <w:spacing w:val="-6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sz w:val="20"/>
                <w:szCs w:val="20"/>
              </w:rPr>
              <w:t>período</w:t>
            </w:r>
            <w:r w:rsidRPr="006F2CC8">
              <w:rPr>
                <w:rFonts w:ascii="Verdana" w:hAnsi="Verdana" w:cs="Adobe Devanagari"/>
                <w:spacing w:val="-6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sz w:val="20"/>
                <w:szCs w:val="20"/>
              </w:rPr>
              <w:t>de</w:t>
            </w:r>
            <w:r w:rsidRPr="006F2CC8">
              <w:rPr>
                <w:rFonts w:ascii="Verdana" w:hAnsi="Verdana" w:cs="Adobe Devanagari"/>
                <w:spacing w:val="-11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sz w:val="20"/>
                <w:szCs w:val="20"/>
              </w:rPr>
              <w:t>uso</w:t>
            </w:r>
            <w:r w:rsidRPr="006F2CC8">
              <w:rPr>
                <w:rFonts w:ascii="Verdana" w:hAnsi="Verdana" w:cs="Adobe Devanagari"/>
                <w:spacing w:val="-6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sz w:val="20"/>
                <w:szCs w:val="20"/>
              </w:rPr>
              <w:t>e operador (se necessário); Transporte,</w:t>
            </w:r>
            <w:r w:rsidRPr="006F2CC8">
              <w:rPr>
                <w:rFonts w:ascii="Verdana" w:hAnsi="Verdana" w:cs="Adobe Devanagari"/>
                <w:spacing w:val="-5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sz w:val="20"/>
                <w:szCs w:val="20"/>
              </w:rPr>
              <w:t>montagem, teste</w:t>
            </w:r>
            <w:r w:rsidRPr="006F2CC8">
              <w:rPr>
                <w:rFonts w:ascii="Verdana" w:hAnsi="Verdana" w:cs="Adobe Devanagari"/>
                <w:spacing w:val="-4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sz w:val="20"/>
                <w:szCs w:val="20"/>
              </w:rPr>
              <w:t>de</w:t>
            </w:r>
            <w:r w:rsidRPr="006F2CC8">
              <w:rPr>
                <w:rFonts w:ascii="Verdana" w:hAnsi="Verdana" w:cs="Adobe Devanagari"/>
                <w:spacing w:val="1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spacing w:val="-2"/>
                <w:sz w:val="20"/>
                <w:szCs w:val="20"/>
              </w:rPr>
              <w:t xml:space="preserve">funcionamento, </w:t>
            </w:r>
            <w:r w:rsidRPr="006F2CC8">
              <w:rPr>
                <w:rFonts w:ascii="Verdana" w:hAnsi="Verdana" w:cs="Adobe Devanagari"/>
                <w:sz w:val="20"/>
                <w:szCs w:val="20"/>
              </w:rPr>
              <w:t>manutenção</w:t>
            </w:r>
            <w:r w:rsidRPr="006F2CC8">
              <w:rPr>
                <w:rFonts w:ascii="Verdana" w:hAnsi="Verdana" w:cs="Adobe Devanagari"/>
                <w:spacing w:val="-4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sz w:val="20"/>
                <w:szCs w:val="20"/>
              </w:rPr>
              <w:t>preventiva</w:t>
            </w:r>
            <w:r w:rsidRPr="006F2CC8">
              <w:rPr>
                <w:rFonts w:ascii="Verdana" w:hAnsi="Verdana" w:cs="Adobe Devanagari"/>
                <w:spacing w:val="-4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sz w:val="20"/>
                <w:szCs w:val="20"/>
              </w:rPr>
              <w:t>e retirada</w:t>
            </w:r>
            <w:r w:rsidRPr="006F2CC8">
              <w:rPr>
                <w:rFonts w:ascii="Verdana" w:hAnsi="Verdana" w:cs="Adobe Devanagari"/>
                <w:spacing w:val="-4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spacing w:val="-2"/>
                <w:sz w:val="20"/>
                <w:szCs w:val="20"/>
              </w:rPr>
              <w:t>inclusos.</w:t>
            </w:r>
          </w:p>
          <w:p w14:paraId="2D5D79EA" w14:textId="77777777" w:rsidR="008E07EA" w:rsidRPr="006F2CC8" w:rsidRDefault="008E07EA" w:rsidP="005517A5">
            <w:pPr>
              <w:jc w:val="both"/>
              <w:rPr>
                <w:rFonts w:ascii="Verdana" w:hAnsi="Verdana"/>
                <w:sz w:val="20"/>
              </w:rPr>
            </w:pPr>
          </w:p>
        </w:tc>
      </w:tr>
      <w:tr w:rsidR="008E07EA" w:rsidRPr="006F2CC8" w14:paraId="7225913F" w14:textId="77777777" w:rsidTr="008E07EA">
        <w:trPr>
          <w:trHeight w:val="3412"/>
        </w:trPr>
        <w:tc>
          <w:tcPr>
            <w:tcW w:w="917" w:type="dxa"/>
            <w:vAlign w:val="center"/>
          </w:tcPr>
          <w:p w14:paraId="5069AC05" w14:textId="77777777" w:rsidR="008E07EA" w:rsidRPr="006F2CC8" w:rsidRDefault="008E07EA" w:rsidP="005517A5">
            <w:pPr>
              <w:jc w:val="center"/>
              <w:rPr>
                <w:rFonts w:ascii="Verdana" w:hAnsi="Verdana"/>
                <w:b/>
                <w:sz w:val="20"/>
              </w:rPr>
            </w:pPr>
            <w:r w:rsidRPr="006F2CC8">
              <w:rPr>
                <w:rFonts w:ascii="Verdana" w:hAnsi="Verdana"/>
                <w:b/>
                <w:sz w:val="20"/>
              </w:rPr>
              <w:t>2</w:t>
            </w:r>
          </w:p>
        </w:tc>
        <w:tc>
          <w:tcPr>
            <w:tcW w:w="8155" w:type="dxa"/>
          </w:tcPr>
          <w:p w14:paraId="6D4810A4" w14:textId="77777777" w:rsidR="008E07EA" w:rsidRPr="006F2CC8" w:rsidRDefault="008E07EA" w:rsidP="005517A5">
            <w:pPr>
              <w:pStyle w:val="Contedodatabela"/>
              <w:ind w:left="57" w:right="113"/>
              <w:jc w:val="both"/>
              <w:rPr>
                <w:rFonts w:ascii="Verdana" w:hAnsi="Verdana" w:cs="Adobe Devanagari"/>
                <w:b/>
                <w:bCs/>
                <w:color w:val="000000"/>
                <w:sz w:val="20"/>
                <w:szCs w:val="20"/>
              </w:rPr>
            </w:pPr>
            <w:r w:rsidRPr="006F2CC8">
              <w:rPr>
                <w:rFonts w:ascii="Verdana" w:hAnsi="Verdana" w:cs="Adobe Devanagari"/>
                <w:b/>
                <w:bCs/>
                <w:color w:val="000000"/>
                <w:sz w:val="20"/>
                <w:szCs w:val="20"/>
              </w:rPr>
              <w:t>Sonorização:</w:t>
            </w:r>
          </w:p>
          <w:p w14:paraId="00B3661C" w14:textId="77777777" w:rsidR="008E07EA" w:rsidRPr="006F2CC8" w:rsidRDefault="008E07EA" w:rsidP="005517A5">
            <w:pPr>
              <w:pStyle w:val="Contedodatabela"/>
              <w:ind w:left="57" w:right="113"/>
              <w:jc w:val="both"/>
              <w:rPr>
                <w:rFonts w:ascii="Verdana" w:hAnsi="Verdana" w:cs="Adobe Devanagari"/>
                <w:b/>
                <w:bCs/>
                <w:color w:val="000000"/>
                <w:sz w:val="20"/>
                <w:szCs w:val="20"/>
              </w:rPr>
            </w:pPr>
          </w:p>
          <w:p w14:paraId="7D60E8DB" w14:textId="77777777" w:rsidR="008E07EA" w:rsidRPr="006F2CC8" w:rsidRDefault="008E07EA" w:rsidP="005517A5">
            <w:pPr>
              <w:pStyle w:val="Contedodatabela"/>
              <w:ind w:left="57" w:right="113"/>
              <w:jc w:val="both"/>
              <w:rPr>
                <w:rFonts w:ascii="Verdana" w:hAnsi="Verdana" w:cs="Adobe Devanagari"/>
                <w:color w:val="000000"/>
                <w:sz w:val="20"/>
                <w:szCs w:val="20"/>
              </w:rPr>
            </w:pPr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Locação de sistema de som, pelo período de três dias (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pa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), composto por: 12 caixas de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subwoofer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218 duplo mais 16 caixas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line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array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210; Amplificadores,  Processador, 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Main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Power (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trifasico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devidamente aterrado); Sistema front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fill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insdispensavel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); 02 console de mixagem digital de 48 canais;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Multicabo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de 48 canais (dividido em duas vias); Spot de monitoração (08 unidades);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Side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fill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dobrado; Sistema de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power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play com 8 vias; 14 microfones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sm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58 ou similar; Kit de microfone bateria; 10 microfones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sm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57 ou similar; 04 microfones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shotgum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; 04 microfones sem fio com sistema de antena externa; 01 cubo de baixo 4x 10 e 1 x 15; 01 cubo de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gtr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212; Bateria (2 tons – 1 surdo – 1 bumbo);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Direc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box (16 unidades); 20 pedestais;  Um técnico de monitor e um técnico de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pa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e um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roudies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.</w:t>
            </w:r>
          </w:p>
          <w:p w14:paraId="09D20B9B" w14:textId="77777777" w:rsidR="008E07EA" w:rsidRPr="006F2CC8" w:rsidRDefault="008E07EA" w:rsidP="005517A5">
            <w:pPr>
              <w:pStyle w:val="TableParagraph"/>
              <w:ind w:left="215"/>
              <w:jc w:val="both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8E07EA" w:rsidRPr="006F2CC8" w14:paraId="7E92040F" w14:textId="77777777" w:rsidTr="008E07EA">
        <w:trPr>
          <w:trHeight w:val="1776"/>
        </w:trPr>
        <w:tc>
          <w:tcPr>
            <w:tcW w:w="917" w:type="dxa"/>
            <w:vAlign w:val="center"/>
          </w:tcPr>
          <w:p w14:paraId="26420A63" w14:textId="77777777" w:rsidR="008E07EA" w:rsidRPr="006F2CC8" w:rsidRDefault="008E07EA" w:rsidP="005517A5">
            <w:pPr>
              <w:jc w:val="center"/>
              <w:rPr>
                <w:rFonts w:ascii="Verdana" w:hAnsi="Verdana"/>
                <w:b/>
                <w:sz w:val="20"/>
              </w:rPr>
            </w:pPr>
            <w:r w:rsidRPr="006F2CC8">
              <w:rPr>
                <w:rFonts w:ascii="Verdana" w:hAnsi="Verdana"/>
                <w:b/>
                <w:sz w:val="20"/>
              </w:rPr>
              <w:t>3</w:t>
            </w:r>
          </w:p>
        </w:tc>
        <w:tc>
          <w:tcPr>
            <w:tcW w:w="8155" w:type="dxa"/>
          </w:tcPr>
          <w:p w14:paraId="4BC75EB0" w14:textId="77777777" w:rsidR="008E07EA" w:rsidRPr="006F2CC8" w:rsidRDefault="008E07EA" w:rsidP="005517A5">
            <w:pPr>
              <w:pStyle w:val="Contedodatabela"/>
              <w:ind w:left="57" w:right="113"/>
              <w:jc w:val="both"/>
              <w:rPr>
                <w:rFonts w:ascii="Verdana" w:hAnsi="Verdana" w:cs="Adobe Devanagari"/>
                <w:b/>
                <w:sz w:val="20"/>
                <w:szCs w:val="20"/>
              </w:rPr>
            </w:pPr>
            <w:r w:rsidRPr="006F2CC8">
              <w:rPr>
                <w:rFonts w:ascii="Verdana" w:hAnsi="Verdana" w:cs="Adobe Devanagari"/>
                <w:b/>
                <w:sz w:val="20"/>
                <w:szCs w:val="20"/>
              </w:rPr>
              <w:t>Iluminação:</w:t>
            </w:r>
          </w:p>
          <w:p w14:paraId="3A8864B9" w14:textId="77777777" w:rsidR="008E07EA" w:rsidRPr="006F2CC8" w:rsidRDefault="008E07EA" w:rsidP="005517A5">
            <w:pPr>
              <w:pStyle w:val="Contedodatabela"/>
              <w:ind w:left="57" w:right="113"/>
              <w:jc w:val="both"/>
              <w:rPr>
                <w:rFonts w:ascii="Verdana" w:hAnsi="Verdana" w:cs="Adobe Devanagari"/>
                <w:b/>
                <w:sz w:val="20"/>
                <w:szCs w:val="20"/>
              </w:rPr>
            </w:pPr>
          </w:p>
          <w:p w14:paraId="1D8CDE6F" w14:textId="77777777" w:rsidR="008E07EA" w:rsidRPr="006F2CC8" w:rsidRDefault="008E07EA" w:rsidP="005517A5">
            <w:pPr>
              <w:pStyle w:val="Contedodatabela"/>
              <w:ind w:left="57" w:right="113"/>
              <w:jc w:val="both"/>
              <w:rPr>
                <w:rFonts w:ascii="Verdana" w:hAnsi="Verdana" w:cs="Adobe Devanagari"/>
                <w:sz w:val="20"/>
                <w:szCs w:val="20"/>
              </w:rPr>
            </w:pPr>
            <w:r w:rsidRPr="006F2CC8">
              <w:rPr>
                <w:rFonts w:ascii="Verdana" w:hAnsi="Verdana" w:cs="Adobe Devanagari"/>
                <w:sz w:val="20"/>
                <w:szCs w:val="20"/>
              </w:rPr>
              <w:t xml:space="preserve">Locação de sistema de Iluminação, pelo período de três dias, compreendendo: </w:t>
            </w:r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Rack de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dimmer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12 out (2 unidades);  Pro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power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(1 unidade); Moving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bean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(24 unidades); Mini brut (8 unidades); Par 64#5 (24unidades);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Cob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200wats (8 unidades); Led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rgbwa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uv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(24 unidades); Atomic (20 unidades);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Haze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(2 unidades); Elipsoidal (8 unidades); Console de iluminação; Um técnico de iluminação; Estrutura para fixação da iluminação: Estrutura box </w:t>
            </w:r>
            <w:proofErr w:type="spellStart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>truss</w:t>
            </w:r>
            <w:proofErr w:type="spellEnd"/>
            <w:r w:rsidRPr="006F2CC8">
              <w:rPr>
                <w:rFonts w:ascii="Verdana" w:hAnsi="Verdana" w:cs="Adobe Devanagari"/>
                <w:color w:val="000000"/>
                <w:sz w:val="20"/>
                <w:szCs w:val="20"/>
              </w:rPr>
              <w:t xml:space="preserve"> q30 e q 50 formando um grid de 10m x 10m com 02 vigas ao meio, devidamente estaqueado, e nivelado. </w:t>
            </w:r>
            <w:r w:rsidRPr="006F2CC8">
              <w:rPr>
                <w:rFonts w:ascii="Verdana" w:hAnsi="Verdana" w:cs="Adobe Devanagari"/>
                <w:sz w:val="20"/>
                <w:szCs w:val="20"/>
              </w:rPr>
              <w:t>Observação: laudo e ART de todo o material.</w:t>
            </w:r>
          </w:p>
          <w:p w14:paraId="403DF7E7" w14:textId="77777777" w:rsidR="008E07EA" w:rsidRPr="006F2CC8" w:rsidRDefault="008E07EA" w:rsidP="005517A5">
            <w:pPr>
              <w:pStyle w:val="TableParagraph"/>
              <w:ind w:left="107"/>
              <w:rPr>
                <w:rFonts w:ascii="Verdana" w:hAnsi="Verdana"/>
                <w:b/>
                <w:spacing w:val="-2"/>
                <w:sz w:val="20"/>
                <w:szCs w:val="20"/>
              </w:rPr>
            </w:pPr>
          </w:p>
        </w:tc>
      </w:tr>
      <w:tr w:rsidR="008E07EA" w:rsidRPr="006F2CC8" w14:paraId="77A2340B" w14:textId="77777777" w:rsidTr="008E07EA">
        <w:trPr>
          <w:trHeight w:val="96"/>
        </w:trPr>
        <w:tc>
          <w:tcPr>
            <w:tcW w:w="917" w:type="dxa"/>
            <w:vAlign w:val="center"/>
          </w:tcPr>
          <w:p w14:paraId="42B29CE0" w14:textId="77777777" w:rsidR="008E07EA" w:rsidRPr="006F2CC8" w:rsidRDefault="008E07EA" w:rsidP="005517A5">
            <w:pPr>
              <w:jc w:val="center"/>
              <w:rPr>
                <w:rFonts w:ascii="Verdana" w:hAnsi="Verdana"/>
                <w:b/>
                <w:sz w:val="20"/>
              </w:rPr>
            </w:pPr>
            <w:r w:rsidRPr="006F2CC8">
              <w:rPr>
                <w:rFonts w:ascii="Verdana" w:hAnsi="Verdana"/>
                <w:b/>
                <w:sz w:val="20"/>
              </w:rPr>
              <w:t>4</w:t>
            </w:r>
          </w:p>
        </w:tc>
        <w:tc>
          <w:tcPr>
            <w:tcW w:w="8155" w:type="dxa"/>
          </w:tcPr>
          <w:p w14:paraId="7F339F87" w14:textId="77777777" w:rsidR="008E07EA" w:rsidRPr="006F2CC8" w:rsidRDefault="008E07EA" w:rsidP="005517A5">
            <w:pPr>
              <w:pStyle w:val="TableParagraph"/>
              <w:ind w:left="57" w:right="113"/>
              <w:jc w:val="both"/>
              <w:rPr>
                <w:rFonts w:ascii="Verdana" w:hAnsi="Verdana" w:cs="Adobe Devanagari"/>
                <w:b/>
                <w:spacing w:val="-2"/>
                <w:sz w:val="20"/>
                <w:szCs w:val="20"/>
              </w:rPr>
            </w:pPr>
            <w:r w:rsidRPr="006F2CC8">
              <w:rPr>
                <w:rFonts w:ascii="Verdana" w:hAnsi="Verdana" w:cs="Adobe Devanagari"/>
                <w:b/>
                <w:sz w:val="20"/>
                <w:szCs w:val="20"/>
              </w:rPr>
              <w:t>Locação</w:t>
            </w:r>
            <w:r w:rsidRPr="006F2CC8">
              <w:rPr>
                <w:rFonts w:ascii="Verdana" w:hAnsi="Verdana" w:cs="Adobe Devanagari"/>
                <w:b/>
                <w:spacing w:val="-7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/>
                <w:sz w:val="20"/>
                <w:szCs w:val="20"/>
              </w:rPr>
              <w:t>de</w:t>
            </w:r>
            <w:r w:rsidRPr="006F2CC8">
              <w:rPr>
                <w:rFonts w:ascii="Verdana" w:hAnsi="Verdana" w:cs="Adobe Devanagari"/>
                <w:b/>
                <w:spacing w:val="-7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/>
                <w:sz w:val="20"/>
                <w:szCs w:val="20"/>
              </w:rPr>
              <w:t>Grades</w:t>
            </w:r>
            <w:r w:rsidRPr="006F2CC8">
              <w:rPr>
                <w:rFonts w:ascii="Verdana" w:hAnsi="Verdana" w:cs="Adobe Devanagari"/>
                <w:b/>
                <w:spacing w:val="-6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/>
                <w:sz w:val="20"/>
                <w:szCs w:val="20"/>
              </w:rPr>
              <w:t>de</w:t>
            </w:r>
            <w:r w:rsidRPr="006F2CC8">
              <w:rPr>
                <w:rFonts w:ascii="Verdana" w:hAnsi="Verdana" w:cs="Adobe Devanagari"/>
                <w:b/>
                <w:spacing w:val="-7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/>
                <w:sz w:val="20"/>
                <w:szCs w:val="20"/>
              </w:rPr>
              <w:t>Proteção</w:t>
            </w:r>
            <w:r w:rsidRPr="006F2CC8">
              <w:rPr>
                <w:rFonts w:ascii="Verdana" w:hAnsi="Verdana" w:cs="Adobe Devanagari"/>
                <w:b/>
                <w:spacing w:val="-7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/>
                <w:sz w:val="20"/>
                <w:szCs w:val="20"/>
              </w:rPr>
              <w:t>com</w:t>
            </w:r>
            <w:r w:rsidRPr="006F2CC8">
              <w:rPr>
                <w:rFonts w:ascii="Verdana" w:hAnsi="Verdana" w:cs="Adobe Devanagari"/>
                <w:b/>
                <w:spacing w:val="-5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/>
                <w:sz w:val="20"/>
                <w:szCs w:val="20"/>
              </w:rPr>
              <w:t xml:space="preserve">Engates </w:t>
            </w:r>
            <w:r w:rsidRPr="006F2CC8">
              <w:rPr>
                <w:rFonts w:ascii="Verdana" w:hAnsi="Verdana" w:cs="Adobe Devanagari"/>
                <w:b/>
                <w:spacing w:val="-2"/>
                <w:sz w:val="20"/>
                <w:szCs w:val="20"/>
              </w:rPr>
              <w:t>Rápidos</w:t>
            </w:r>
          </w:p>
          <w:p w14:paraId="7A7BF4A7" w14:textId="77777777" w:rsidR="008E07EA" w:rsidRPr="006F2CC8" w:rsidRDefault="008E07EA" w:rsidP="005517A5">
            <w:pPr>
              <w:pStyle w:val="TableParagraph"/>
              <w:ind w:left="57" w:right="113"/>
              <w:jc w:val="both"/>
              <w:rPr>
                <w:rFonts w:ascii="Verdana" w:hAnsi="Verdana" w:cs="Adobe Devanagari"/>
                <w:b/>
                <w:sz w:val="20"/>
                <w:szCs w:val="20"/>
              </w:rPr>
            </w:pPr>
          </w:p>
          <w:p w14:paraId="00659931" w14:textId="77777777" w:rsidR="008E07EA" w:rsidRPr="006F2CC8" w:rsidRDefault="008E07EA" w:rsidP="005517A5">
            <w:pPr>
              <w:pStyle w:val="TableParagraph"/>
              <w:ind w:left="57" w:right="113"/>
              <w:jc w:val="both"/>
              <w:rPr>
                <w:rFonts w:ascii="Verdana" w:hAnsi="Verdana" w:cs="Times New Roman"/>
                <w:bCs/>
                <w:spacing w:val="-2"/>
                <w:sz w:val="20"/>
                <w:szCs w:val="20"/>
              </w:rPr>
            </w:pP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Locação</w:t>
            </w:r>
            <w:r w:rsidRPr="006F2CC8">
              <w:rPr>
                <w:rFonts w:ascii="Verdana" w:hAnsi="Verdana" w:cs="Times New Roman"/>
                <w:bCs/>
                <w:spacing w:val="-3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de</w:t>
            </w:r>
            <w:r w:rsidRPr="006F2CC8">
              <w:rPr>
                <w:rFonts w:ascii="Verdana" w:hAnsi="Verdana" w:cs="Times New Roman"/>
                <w:bCs/>
                <w:spacing w:val="-8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grades</w:t>
            </w:r>
            <w:r w:rsidRPr="006F2CC8">
              <w:rPr>
                <w:rFonts w:ascii="Verdana" w:hAnsi="Verdana" w:cs="Times New Roman"/>
                <w:bCs/>
                <w:spacing w:val="-5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de</w:t>
            </w:r>
            <w:r w:rsidRPr="006F2CC8">
              <w:rPr>
                <w:rFonts w:ascii="Verdana" w:hAnsi="Verdana" w:cs="Times New Roman"/>
                <w:bCs/>
                <w:spacing w:val="-6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proteção</w:t>
            </w:r>
            <w:r w:rsidRPr="006F2CC8">
              <w:rPr>
                <w:rFonts w:ascii="Verdana" w:hAnsi="Verdana" w:cs="Times New Roman"/>
                <w:bCs/>
                <w:spacing w:val="-6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metálicas, pelo período de três dias, pelo período de três dias,</w:t>
            </w:r>
            <w:r w:rsidRPr="006F2CC8">
              <w:rPr>
                <w:rFonts w:ascii="Verdana" w:hAnsi="Verdana" w:cs="Times New Roman"/>
                <w:bCs/>
                <w:spacing w:val="-5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ideais</w:t>
            </w:r>
            <w:r w:rsidRPr="006F2CC8">
              <w:rPr>
                <w:rFonts w:ascii="Verdana" w:hAnsi="Verdana" w:cs="Times New Roman"/>
                <w:bCs/>
                <w:spacing w:val="-7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para controle de público e isolamento de áreas, com as seguintes</w:t>
            </w:r>
            <w:r w:rsidRPr="006F2CC8">
              <w:rPr>
                <w:rFonts w:ascii="Verdana" w:hAnsi="Verdana" w:cs="Times New Roman"/>
                <w:bCs/>
                <w:spacing w:val="-3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pacing w:val="-2"/>
                <w:sz w:val="20"/>
                <w:szCs w:val="20"/>
              </w:rPr>
              <w:t>especificações: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 xml:space="preserve"> Estrutura</w:t>
            </w:r>
            <w:r w:rsidRPr="006F2CC8">
              <w:rPr>
                <w:rFonts w:ascii="Verdana" w:hAnsi="Verdana" w:cs="Times New Roman"/>
                <w:bCs/>
                <w:spacing w:val="-12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metálica</w:t>
            </w:r>
            <w:r w:rsidRPr="006F2CC8">
              <w:rPr>
                <w:rFonts w:ascii="Verdana" w:hAnsi="Verdana" w:cs="Times New Roman"/>
                <w:bCs/>
                <w:spacing w:val="-9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reforçada,</w:t>
            </w:r>
            <w:r w:rsidRPr="006F2CC8">
              <w:rPr>
                <w:rFonts w:ascii="Verdana" w:hAnsi="Verdana" w:cs="Times New Roman"/>
                <w:bCs/>
                <w:spacing w:val="-10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com</w:t>
            </w:r>
            <w:r w:rsidRPr="006F2CC8">
              <w:rPr>
                <w:rFonts w:ascii="Verdana" w:hAnsi="Verdana" w:cs="Times New Roman"/>
                <w:bCs/>
                <w:spacing w:val="-10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acabamento galvanizado ou pintura anticorrosiva; Sistema</w:t>
            </w:r>
            <w:r w:rsidRPr="006F2CC8">
              <w:rPr>
                <w:rFonts w:ascii="Verdana" w:hAnsi="Verdana" w:cs="Times New Roman"/>
                <w:bCs/>
                <w:spacing w:val="-4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de</w:t>
            </w:r>
            <w:r w:rsidRPr="006F2CC8">
              <w:rPr>
                <w:rFonts w:ascii="Verdana" w:hAnsi="Verdana" w:cs="Times New Roman"/>
                <w:bCs/>
                <w:spacing w:val="-5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engate</w:t>
            </w:r>
            <w:r w:rsidRPr="006F2CC8">
              <w:rPr>
                <w:rFonts w:ascii="Verdana" w:hAnsi="Verdana" w:cs="Times New Roman"/>
                <w:bCs/>
                <w:spacing w:val="-6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rápido,</w:t>
            </w:r>
            <w:r w:rsidRPr="006F2CC8">
              <w:rPr>
                <w:rFonts w:ascii="Verdana" w:hAnsi="Verdana" w:cs="Times New Roman"/>
                <w:bCs/>
                <w:spacing w:val="-9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que</w:t>
            </w:r>
            <w:r w:rsidRPr="006F2CC8">
              <w:rPr>
                <w:rFonts w:ascii="Verdana" w:hAnsi="Verdana" w:cs="Times New Roman"/>
                <w:bCs/>
                <w:spacing w:val="-8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garante</w:t>
            </w:r>
            <w:r w:rsidRPr="006F2CC8">
              <w:rPr>
                <w:rFonts w:ascii="Verdana" w:hAnsi="Verdana" w:cs="Times New Roman"/>
                <w:bCs/>
                <w:spacing w:val="-4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agilidade na montagem e maior segurança na fixação entre as grades; Altura média de 1,20m e comprimento aproximado</w:t>
            </w:r>
            <w:r w:rsidRPr="006F2CC8">
              <w:rPr>
                <w:rFonts w:ascii="Verdana" w:hAnsi="Verdana" w:cs="Times New Roman"/>
                <w:bCs/>
                <w:spacing w:val="-6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de</w:t>
            </w:r>
            <w:r w:rsidRPr="006F2CC8">
              <w:rPr>
                <w:rFonts w:ascii="Verdana" w:hAnsi="Verdana" w:cs="Times New Roman"/>
                <w:bCs/>
                <w:spacing w:val="-6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2,00m</w:t>
            </w:r>
            <w:r w:rsidRPr="006F2CC8">
              <w:rPr>
                <w:rFonts w:ascii="Verdana" w:hAnsi="Verdana" w:cs="Times New Roman"/>
                <w:bCs/>
                <w:spacing w:val="-7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por</w:t>
            </w:r>
            <w:r w:rsidRPr="006F2CC8">
              <w:rPr>
                <w:rFonts w:ascii="Verdana" w:hAnsi="Verdana" w:cs="Times New Roman"/>
                <w:bCs/>
                <w:spacing w:val="-11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unidade</w:t>
            </w:r>
            <w:r w:rsidRPr="006F2CC8">
              <w:rPr>
                <w:rFonts w:ascii="Verdana" w:hAnsi="Verdana" w:cs="Times New Roman"/>
                <w:bCs/>
                <w:spacing w:val="-10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 xml:space="preserve">(padrão </w:t>
            </w:r>
            <w:r w:rsidRPr="006F2CC8">
              <w:rPr>
                <w:rFonts w:ascii="Verdana" w:hAnsi="Verdana" w:cs="Times New Roman"/>
                <w:bCs/>
                <w:spacing w:val="-2"/>
                <w:sz w:val="20"/>
                <w:szCs w:val="20"/>
              </w:rPr>
              <w:t xml:space="preserve">evento);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Inclusos:</w:t>
            </w:r>
            <w:r w:rsidRPr="006F2CC8">
              <w:rPr>
                <w:rFonts w:ascii="Verdana" w:hAnsi="Verdana" w:cs="Times New Roman"/>
                <w:bCs/>
                <w:spacing w:val="-14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transporte,</w:t>
            </w:r>
            <w:r w:rsidRPr="006F2CC8">
              <w:rPr>
                <w:rFonts w:ascii="Verdana" w:hAnsi="Verdana" w:cs="Times New Roman"/>
                <w:bCs/>
                <w:spacing w:val="-12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montagem,</w:t>
            </w:r>
            <w:r w:rsidRPr="006F2CC8">
              <w:rPr>
                <w:rFonts w:ascii="Verdana" w:hAnsi="Verdana" w:cs="Times New Roman"/>
                <w:bCs/>
                <w:spacing w:val="-13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 xml:space="preserve">desmontagem e recolhimento conforme cronograma do </w:t>
            </w:r>
            <w:r w:rsidRPr="006F2CC8">
              <w:rPr>
                <w:rFonts w:ascii="Verdana" w:hAnsi="Verdana" w:cs="Times New Roman"/>
                <w:bCs/>
                <w:spacing w:val="-2"/>
                <w:sz w:val="20"/>
                <w:szCs w:val="20"/>
              </w:rPr>
              <w:t>evento.</w:t>
            </w:r>
          </w:p>
          <w:p w14:paraId="54B29D47" w14:textId="77777777" w:rsidR="008E07EA" w:rsidRPr="006F2CC8" w:rsidRDefault="008E07EA" w:rsidP="005517A5">
            <w:pPr>
              <w:pStyle w:val="TableParagraph"/>
              <w:ind w:left="107"/>
              <w:rPr>
                <w:rFonts w:ascii="Verdana" w:hAnsi="Verdana"/>
                <w:b/>
                <w:spacing w:val="-2"/>
                <w:sz w:val="20"/>
                <w:szCs w:val="20"/>
              </w:rPr>
            </w:pPr>
          </w:p>
        </w:tc>
      </w:tr>
      <w:tr w:rsidR="008E07EA" w:rsidRPr="006F2CC8" w14:paraId="67D72C94" w14:textId="77777777" w:rsidTr="008E07EA">
        <w:trPr>
          <w:trHeight w:val="2599"/>
        </w:trPr>
        <w:tc>
          <w:tcPr>
            <w:tcW w:w="917" w:type="dxa"/>
            <w:vAlign w:val="center"/>
          </w:tcPr>
          <w:p w14:paraId="24B37DEA" w14:textId="77777777" w:rsidR="008E07EA" w:rsidRPr="006F2CC8" w:rsidRDefault="008E07EA" w:rsidP="005517A5">
            <w:pPr>
              <w:jc w:val="center"/>
              <w:rPr>
                <w:rFonts w:ascii="Verdana" w:hAnsi="Verdana"/>
                <w:b/>
                <w:sz w:val="20"/>
              </w:rPr>
            </w:pPr>
            <w:r w:rsidRPr="006F2CC8">
              <w:rPr>
                <w:rFonts w:ascii="Verdana" w:hAnsi="Verdana"/>
                <w:b/>
                <w:sz w:val="20"/>
              </w:rPr>
              <w:lastRenderedPageBreak/>
              <w:t>5</w:t>
            </w:r>
          </w:p>
        </w:tc>
        <w:tc>
          <w:tcPr>
            <w:tcW w:w="8155" w:type="dxa"/>
          </w:tcPr>
          <w:p w14:paraId="29C7BFB8" w14:textId="77777777" w:rsidR="008E07EA" w:rsidRPr="006F2CC8" w:rsidRDefault="008E07EA" w:rsidP="005517A5">
            <w:pPr>
              <w:pStyle w:val="TableParagraph"/>
              <w:ind w:left="57" w:right="113"/>
              <w:jc w:val="both"/>
              <w:rPr>
                <w:rFonts w:ascii="Verdana" w:hAnsi="Verdana" w:cs="Adobe Devanagari"/>
                <w:bCs/>
                <w:sz w:val="20"/>
                <w:szCs w:val="20"/>
              </w:rPr>
            </w:pPr>
            <w:r w:rsidRPr="006F2CC8">
              <w:rPr>
                <w:rFonts w:ascii="Verdana" w:hAnsi="Verdana" w:cs="Adobe Devanagari"/>
                <w:b/>
                <w:sz w:val="20"/>
                <w:szCs w:val="20"/>
              </w:rPr>
              <w:t>Locação</w:t>
            </w:r>
            <w:r w:rsidRPr="006F2CC8">
              <w:rPr>
                <w:rFonts w:ascii="Verdana" w:hAnsi="Verdana" w:cs="Adobe Devanagari"/>
                <w:b/>
                <w:spacing w:val="-8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/>
                <w:sz w:val="20"/>
                <w:szCs w:val="20"/>
              </w:rPr>
              <w:t>de</w:t>
            </w:r>
            <w:r w:rsidRPr="006F2CC8">
              <w:rPr>
                <w:rFonts w:ascii="Verdana" w:hAnsi="Verdana" w:cs="Adobe Devanagari"/>
                <w:b/>
                <w:spacing w:val="-8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/>
                <w:sz w:val="20"/>
                <w:szCs w:val="20"/>
              </w:rPr>
              <w:t>Cadeiras</w:t>
            </w:r>
            <w:r w:rsidRPr="006F2CC8">
              <w:rPr>
                <w:rFonts w:ascii="Verdana" w:hAnsi="Verdana" w:cs="Adobe Devanagari"/>
                <w:b/>
                <w:spacing w:val="-7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/>
                <w:sz w:val="20"/>
                <w:szCs w:val="20"/>
              </w:rPr>
              <w:t>para</w:t>
            </w:r>
            <w:r w:rsidRPr="006F2CC8">
              <w:rPr>
                <w:rFonts w:ascii="Verdana" w:hAnsi="Verdana" w:cs="Adobe Devanagari"/>
                <w:b/>
                <w:spacing w:val="-9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Adobe Devanagari"/>
                <w:b/>
                <w:sz w:val="20"/>
                <w:szCs w:val="20"/>
              </w:rPr>
              <w:t>Público</w:t>
            </w:r>
            <w:r w:rsidRPr="006F2CC8">
              <w:rPr>
                <w:rFonts w:ascii="Verdana" w:hAnsi="Verdana" w:cs="Adobe Devanagari"/>
                <w:bCs/>
                <w:sz w:val="20"/>
                <w:szCs w:val="20"/>
              </w:rPr>
              <w:t xml:space="preserve"> </w:t>
            </w:r>
          </w:p>
          <w:p w14:paraId="6F12CF3B" w14:textId="77777777" w:rsidR="008E07EA" w:rsidRPr="006F2CC8" w:rsidRDefault="008E07EA" w:rsidP="005517A5">
            <w:pPr>
              <w:pStyle w:val="TableParagraph"/>
              <w:ind w:left="57" w:right="113"/>
              <w:jc w:val="both"/>
              <w:rPr>
                <w:rFonts w:ascii="Verdana" w:hAnsi="Verdana" w:cs="Adobe Devanagari"/>
                <w:bCs/>
                <w:sz w:val="20"/>
                <w:szCs w:val="20"/>
              </w:rPr>
            </w:pPr>
          </w:p>
          <w:p w14:paraId="3FA4FF06" w14:textId="77777777" w:rsidR="008E07EA" w:rsidRPr="006F2CC8" w:rsidRDefault="008E07EA" w:rsidP="005517A5">
            <w:pPr>
              <w:pStyle w:val="TableParagraph"/>
              <w:ind w:left="57" w:right="113"/>
              <w:jc w:val="both"/>
              <w:rPr>
                <w:rFonts w:ascii="Verdana" w:hAnsi="Verdana" w:cs="Times New Roman"/>
                <w:sz w:val="20"/>
                <w:szCs w:val="20"/>
              </w:rPr>
            </w:pP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Locação</w:t>
            </w:r>
            <w:r w:rsidRPr="006F2CC8">
              <w:rPr>
                <w:rFonts w:ascii="Verdana" w:hAnsi="Verdana" w:cs="Times New Roman"/>
                <w:bCs/>
                <w:spacing w:val="-4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de</w:t>
            </w:r>
            <w:r w:rsidRPr="006F2CC8">
              <w:rPr>
                <w:rFonts w:ascii="Verdana" w:hAnsi="Verdana" w:cs="Times New Roman"/>
                <w:bCs/>
                <w:spacing w:val="-9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cadeiras</w:t>
            </w:r>
            <w:r w:rsidRPr="006F2CC8">
              <w:rPr>
                <w:rFonts w:ascii="Verdana" w:hAnsi="Verdana" w:cs="Times New Roman"/>
                <w:bCs/>
                <w:spacing w:val="-6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plásticas</w:t>
            </w:r>
            <w:r w:rsidRPr="006F2CC8">
              <w:rPr>
                <w:rFonts w:ascii="Verdana" w:hAnsi="Verdana" w:cs="Times New Roman"/>
                <w:bCs/>
                <w:spacing w:val="-6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brancas,</w:t>
            </w:r>
            <w:r w:rsidRPr="006F2CC8">
              <w:rPr>
                <w:rFonts w:ascii="Verdana" w:hAnsi="Verdana" w:cs="Times New Roman"/>
                <w:bCs/>
                <w:spacing w:val="-4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sem</w:t>
            </w:r>
            <w:r w:rsidRPr="006F2CC8">
              <w:rPr>
                <w:rFonts w:ascii="Verdana" w:hAnsi="Verdana" w:cs="Times New Roman"/>
                <w:bCs/>
                <w:spacing w:val="-5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braço, pelo período de três dias,</w:t>
            </w:r>
            <w:r w:rsidRPr="006F2CC8">
              <w:rPr>
                <w:rFonts w:ascii="Verdana" w:hAnsi="Verdana" w:cs="Times New Roman"/>
                <w:bCs/>
                <w:spacing w:val="-6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para uso do público durante os dias do evento, com as seguintes especificações: Cadeiras</w:t>
            </w:r>
            <w:r w:rsidRPr="006F2CC8">
              <w:rPr>
                <w:rFonts w:ascii="Verdana" w:hAnsi="Verdana" w:cs="Times New Roman"/>
                <w:bCs/>
                <w:spacing w:val="-8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em</w:t>
            </w:r>
            <w:r w:rsidRPr="006F2CC8">
              <w:rPr>
                <w:rFonts w:ascii="Verdana" w:hAnsi="Verdana" w:cs="Times New Roman"/>
                <w:bCs/>
                <w:spacing w:val="-5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material</w:t>
            </w:r>
            <w:r w:rsidRPr="006F2CC8">
              <w:rPr>
                <w:rFonts w:ascii="Verdana" w:hAnsi="Verdana" w:cs="Times New Roman"/>
                <w:bCs/>
                <w:spacing w:val="-9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resistente,</w:t>
            </w:r>
            <w:r w:rsidRPr="006F2CC8">
              <w:rPr>
                <w:rFonts w:ascii="Verdana" w:hAnsi="Verdana" w:cs="Times New Roman"/>
                <w:bCs/>
                <w:spacing w:val="-6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padrão</w:t>
            </w:r>
            <w:r w:rsidRPr="006F2CC8">
              <w:rPr>
                <w:rFonts w:ascii="Verdana" w:hAnsi="Verdana" w:cs="Times New Roman"/>
                <w:bCs/>
                <w:spacing w:val="-8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para eventos, na cor branca e sem braço; A empresa contratada será responsável pela entrega,</w:t>
            </w:r>
            <w:r w:rsidRPr="006F2CC8">
              <w:rPr>
                <w:rFonts w:ascii="Verdana" w:hAnsi="Verdana" w:cs="Times New Roman"/>
                <w:bCs/>
                <w:spacing w:val="-8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montagem</w:t>
            </w:r>
            <w:r w:rsidRPr="006F2CC8">
              <w:rPr>
                <w:rFonts w:ascii="Verdana" w:hAnsi="Verdana" w:cs="Times New Roman"/>
                <w:bCs/>
                <w:spacing w:val="-9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(instalação)</w:t>
            </w:r>
            <w:r w:rsidRPr="006F2CC8">
              <w:rPr>
                <w:rFonts w:ascii="Verdana" w:hAnsi="Verdana" w:cs="Times New Roman"/>
                <w:bCs/>
                <w:spacing w:val="-13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e</w:t>
            </w:r>
            <w:r w:rsidRPr="006F2CC8">
              <w:rPr>
                <w:rFonts w:ascii="Verdana" w:hAnsi="Verdana" w:cs="Times New Roman"/>
                <w:bCs/>
                <w:spacing w:val="-9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 xml:space="preserve">recolhimento diário das cadeiras, conforme programação do </w:t>
            </w:r>
            <w:r w:rsidRPr="006F2CC8">
              <w:rPr>
                <w:rFonts w:ascii="Verdana" w:hAnsi="Verdana" w:cs="Times New Roman"/>
                <w:bCs/>
                <w:spacing w:val="-2"/>
                <w:sz w:val="20"/>
                <w:szCs w:val="20"/>
              </w:rPr>
              <w:t xml:space="preserve">evento;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Incluso</w:t>
            </w:r>
            <w:r w:rsidRPr="006F2CC8">
              <w:rPr>
                <w:rFonts w:ascii="Verdana" w:hAnsi="Verdana" w:cs="Times New Roman"/>
                <w:bCs/>
                <w:spacing w:val="-3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transporte,</w:t>
            </w:r>
            <w:r w:rsidRPr="006F2CC8">
              <w:rPr>
                <w:rFonts w:ascii="Verdana" w:hAnsi="Verdana" w:cs="Times New Roman"/>
                <w:bCs/>
                <w:spacing w:val="-8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mão</w:t>
            </w:r>
            <w:r w:rsidRPr="006F2CC8">
              <w:rPr>
                <w:rFonts w:ascii="Verdana" w:hAnsi="Verdana" w:cs="Times New Roman"/>
                <w:bCs/>
                <w:spacing w:val="-6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de</w:t>
            </w:r>
            <w:r w:rsidRPr="006F2CC8">
              <w:rPr>
                <w:rFonts w:ascii="Verdana" w:hAnsi="Verdana" w:cs="Times New Roman"/>
                <w:bCs/>
                <w:spacing w:val="-7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obra</w:t>
            </w:r>
            <w:r w:rsidRPr="006F2CC8">
              <w:rPr>
                <w:rFonts w:ascii="Verdana" w:hAnsi="Verdana" w:cs="Times New Roman"/>
                <w:bCs/>
                <w:spacing w:val="-7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para</w:t>
            </w:r>
            <w:r w:rsidRPr="006F2CC8">
              <w:rPr>
                <w:rFonts w:ascii="Verdana" w:hAnsi="Verdana" w:cs="Times New Roman"/>
                <w:bCs/>
                <w:spacing w:val="-4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logística</w:t>
            </w:r>
            <w:r w:rsidRPr="006F2CC8">
              <w:rPr>
                <w:rFonts w:ascii="Verdana" w:hAnsi="Verdana" w:cs="Times New Roman"/>
                <w:bCs/>
                <w:spacing w:val="-4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e organização no local, em horários previamente definidos com</w:t>
            </w:r>
            <w:r w:rsidRPr="006F2CC8">
              <w:rPr>
                <w:rFonts w:ascii="Verdana" w:hAnsi="Verdana" w:cs="Times New Roman"/>
                <w:bCs/>
                <w:spacing w:val="-6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a</w:t>
            </w:r>
            <w:r w:rsidRPr="006F2CC8">
              <w:rPr>
                <w:rFonts w:ascii="Verdana" w:hAnsi="Verdana" w:cs="Times New Roman"/>
                <w:bCs/>
                <w:spacing w:val="-1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coordenação</w:t>
            </w:r>
            <w:r w:rsidRPr="006F2CC8">
              <w:rPr>
                <w:rFonts w:ascii="Verdana" w:hAnsi="Verdana" w:cs="Times New Roman"/>
                <w:bCs/>
                <w:spacing w:val="-4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z w:val="20"/>
                <w:szCs w:val="20"/>
              </w:rPr>
              <w:t>do</w:t>
            </w:r>
            <w:r w:rsidRPr="006F2CC8">
              <w:rPr>
                <w:rFonts w:ascii="Verdana" w:hAnsi="Verdana" w:cs="Times New Roman"/>
                <w:bCs/>
                <w:spacing w:val="1"/>
                <w:sz w:val="20"/>
                <w:szCs w:val="20"/>
              </w:rPr>
              <w:t xml:space="preserve"> </w:t>
            </w:r>
            <w:r w:rsidRPr="006F2CC8">
              <w:rPr>
                <w:rFonts w:ascii="Verdana" w:hAnsi="Verdana" w:cs="Times New Roman"/>
                <w:bCs/>
                <w:spacing w:val="-2"/>
                <w:sz w:val="20"/>
                <w:szCs w:val="20"/>
              </w:rPr>
              <w:t>evento.</w:t>
            </w:r>
          </w:p>
          <w:p w14:paraId="37D854EF" w14:textId="77777777" w:rsidR="008E07EA" w:rsidRPr="006F2CC8" w:rsidRDefault="008E07EA" w:rsidP="005517A5">
            <w:pPr>
              <w:pStyle w:val="TableParagraph"/>
              <w:ind w:left="215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</w:tbl>
    <w:p w14:paraId="6B9B6283" w14:textId="77777777" w:rsidR="00EA090D" w:rsidRDefault="00EA090D" w:rsidP="00AB7364">
      <w:pPr>
        <w:shd w:val="clear" w:color="auto" w:fill="FBFBFB"/>
        <w:spacing w:after="300" w:line="240" w:lineRule="auto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14:paraId="1D2D1EDF" w14:textId="709A5427" w:rsidR="00784346" w:rsidRPr="00EA090D" w:rsidRDefault="00967CC1" w:rsidP="00AB7364">
      <w:pPr>
        <w:shd w:val="clear" w:color="auto" w:fill="FBFBFB"/>
        <w:spacing w:after="300" w:line="240" w:lineRule="auto"/>
        <w:jc w:val="both"/>
        <w:textAlignment w:val="baseline"/>
        <w:rPr>
          <w:rFonts w:eastAsia="Times New Roman" w:cstheme="minorHAnsi"/>
          <w:sz w:val="20"/>
          <w:szCs w:val="20"/>
          <w:lang w:eastAsia="pt-BR"/>
        </w:rPr>
      </w:pPr>
      <w:r w:rsidRPr="00EA090D">
        <w:rPr>
          <w:rFonts w:eastAsia="Times New Roman" w:cstheme="minorHAnsi"/>
          <w:sz w:val="20"/>
          <w:szCs w:val="20"/>
          <w:lang w:eastAsia="pt-BR"/>
        </w:rPr>
        <w:t>Para tanto, esta Administração, convoca as empresas interessadas a enviarem suas propostas</w:t>
      </w:r>
      <w:r w:rsidR="006D7B65" w:rsidRPr="00EA090D">
        <w:rPr>
          <w:rFonts w:eastAsia="Times New Roman" w:cstheme="minorHAnsi"/>
          <w:sz w:val="20"/>
          <w:szCs w:val="20"/>
          <w:lang w:eastAsia="pt-BR"/>
        </w:rPr>
        <w:t>, no prazo de três dias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t xml:space="preserve"> úteis</w:t>
      </w:r>
      <w:r w:rsidR="006D7B65" w:rsidRPr="00EA090D">
        <w:rPr>
          <w:rFonts w:eastAsia="Times New Roman" w:cstheme="minorHAnsi"/>
          <w:sz w:val="20"/>
          <w:szCs w:val="20"/>
          <w:lang w:eastAsia="pt-BR"/>
        </w:rPr>
        <w:t>, a contar desta data</w:t>
      </w:r>
      <w:r w:rsidRPr="00EA090D">
        <w:rPr>
          <w:rFonts w:eastAsia="Times New Roman" w:cstheme="minorHAnsi"/>
          <w:sz w:val="20"/>
          <w:szCs w:val="20"/>
          <w:lang w:eastAsia="pt-BR"/>
        </w:rPr>
        <w:t xml:space="preserve">, para o e-mail </w:t>
      </w:r>
      <w:hyperlink r:id="rId5" w:history="1">
        <w:r w:rsidRPr="00EA090D">
          <w:rPr>
            <w:rStyle w:val="Hyperlink"/>
            <w:rFonts w:eastAsia="Times New Roman" w:cstheme="minorHAnsi"/>
            <w:color w:val="auto"/>
            <w:sz w:val="20"/>
            <w:szCs w:val="20"/>
            <w:lang w:eastAsia="pt-BR"/>
          </w:rPr>
          <w:t>compras@santoaugusto.rs.gov.br</w:t>
        </w:r>
      </w:hyperlink>
      <w:r w:rsidRPr="00EA090D">
        <w:rPr>
          <w:rFonts w:eastAsia="Times New Roman" w:cstheme="minorHAnsi"/>
          <w:sz w:val="20"/>
          <w:szCs w:val="20"/>
          <w:lang w:eastAsia="pt-BR"/>
        </w:rPr>
        <w:t>, ou entregues pessoalmente no setor de compras e licitações, localizado no 3º piso do Centro Administrativo Municipal.</w:t>
      </w:r>
      <w:r w:rsidR="00B01F16" w:rsidRPr="00EA090D">
        <w:rPr>
          <w:rFonts w:eastAsia="Times New Roman" w:cstheme="minorHAnsi"/>
          <w:sz w:val="20"/>
          <w:szCs w:val="20"/>
          <w:lang w:eastAsia="pt-BR"/>
        </w:rPr>
        <w:t xml:space="preserve"> No caso do envio por e-mail, a empresa deverá solicitar a confirmação do recebimento.</w:t>
      </w:r>
    </w:p>
    <w:p w14:paraId="67061BA3" w14:textId="77777777" w:rsidR="00967CC1" w:rsidRPr="00EA090D" w:rsidRDefault="00967CC1" w:rsidP="0078434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20"/>
          <w:szCs w:val="20"/>
          <w:lang w:eastAsia="pt-BR"/>
        </w:rPr>
      </w:pPr>
      <w:r w:rsidRPr="00EA090D">
        <w:rPr>
          <w:rFonts w:eastAsia="Times New Roman" w:cstheme="minorHAnsi"/>
          <w:sz w:val="20"/>
          <w:szCs w:val="20"/>
          <w:lang w:eastAsia="pt-BR"/>
        </w:rPr>
        <w:t>As</w:t>
      </w:r>
      <w:r w:rsidR="006D7B65" w:rsidRPr="00EA090D">
        <w:rPr>
          <w:rFonts w:eastAsia="Times New Roman" w:cstheme="minorHAnsi"/>
          <w:sz w:val="20"/>
          <w:szCs w:val="20"/>
          <w:lang w:eastAsia="pt-BR"/>
        </w:rPr>
        <w:t xml:space="preserve"> </w:t>
      </w:r>
      <w:r w:rsidRPr="00EA090D">
        <w:rPr>
          <w:rFonts w:eastAsia="Times New Roman" w:cstheme="minorHAnsi"/>
          <w:sz w:val="20"/>
          <w:szCs w:val="20"/>
          <w:lang w:eastAsia="pt-BR"/>
        </w:rPr>
        <w:t>empresas deverão encaminhar suas propostas, contendo as seguintes informações:</w:t>
      </w:r>
    </w:p>
    <w:p w14:paraId="705F391E" w14:textId="77777777" w:rsidR="00967CC1" w:rsidRPr="00EA090D" w:rsidRDefault="00967CC1" w:rsidP="00967CC1">
      <w:pPr>
        <w:shd w:val="clear" w:color="auto" w:fill="FBFBFB"/>
        <w:spacing w:after="300" w:line="240" w:lineRule="auto"/>
        <w:textAlignment w:val="baseline"/>
        <w:rPr>
          <w:rFonts w:eastAsia="Times New Roman" w:cstheme="minorHAnsi"/>
          <w:sz w:val="20"/>
          <w:szCs w:val="20"/>
          <w:lang w:eastAsia="pt-BR"/>
        </w:rPr>
      </w:pPr>
      <w:r w:rsidRPr="00EA090D">
        <w:rPr>
          <w:rFonts w:eastAsia="Times New Roman" w:cstheme="minorHAnsi"/>
          <w:sz w:val="20"/>
          <w:szCs w:val="20"/>
          <w:lang w:eastAsia="pt-BR"/>
        </w:rPr>
        <w:t>1- Nome completo da empresa;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br/>
      </w:r>
      <w:r w:rsidRPr="00EA090D">
        <w:rPr>
          <w:rFonts w:eastAsia="Times New Roman" w:cstheme="minorHAnsi"/>
          <w:sz w:val="20"/>
          <w:szCs w:val="20"/>
          <w:lang w:eastAsia="pt-BR"/>
        </w:rPr>
        <w:t>2- CNPJ;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br/>
      </w:r>
      <w:r w:rsidRPr="00EA090D">
        <w:rPr>
          <w:rFonts w:eastAsia="Times New Roman" w:cstheme="minorHAnsi"/>
          <w:sz w:val="20"/>
          <w:szCs w:val="20"/>
          <w:lang w:eastAsia="pt-BR"/>
        </w:rPr>
        <w:t>3- Endereço;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br/>
      </w:r>
      <w:r w:rsidRPr="00EA090D">
        <w:rPr>
          <w:rFonts w:eastAsia="Times New Roman" w:cstheme="minorHAnsi"/>
          <w:sz w:val="20"/>
          <w:szCs w:val="20"/>
          <w:lang w:eastAsia="pt-BR"/>
        </w:rPr>
        <w:t>4-Telefone;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br/>
      </w:r>
      <w:r w:rsidRPr="00EA090D">
        <w:rPr>
          <w:rFonts w:eastAsia="Times New Roman" w:cstheme="minorHAnsi"/>
          <w:sz w:val="20"/>
          <w:szCs w:val="20"/>
          <w:lang w:eastAsia="pt-BR"/>
        </w:rPr>
        <w:t>5- E-mail; 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br/>
      </w:r>
      <w:r w:rsidR="006D7B65" w:rsidRPr="00EA090D">
        <w:rPr>
          <w:rFonts w:eastAsia="Times New Roman" w:cstheme="minorHAnsi"/>
          <w:sz w:val="20"/>
          <w:szCs w:val="20"/>
          <w:lang w:eastAsia="pt-BR"/>
        </w:rPr>
        <w:t>6- Valor unitário, valor total por item e valor global da cotação;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br/>
        <w:t>7</w:t>
      </w:r>
      <w:r w:rsidR="006D7B65" w:rsidRPr="00EA090D">
        <w:rPr>
          <w:rFonts w:eastAsia="Times New Roman" w:cstheme="minorHAnsi"/>
          <w:sz w:val="20"/>
          <w:szCs w:val="20"/>
          <w:lang w:eastAsia="pt-BR"/>
        </w:rPr>
        <w:t>- Marca</w:t>
      </w:r>
      <w:r w:rsidR="00C35A28" w:rsidRPr="00EA090D">
        <w:rPr>
          <w:rFonts w:eastAsia="Times New Roman" w:cstheme="minorHAnsi"/>
          <w:sz w:val="20"/>
          <w:szCs w:val="20"/>
          <w:lang w:eastAsia="pt-BR"/>
        </w:rPr>
        <w:t xml:space="preserve"> e modelo</w:t>
      </w:r>
      <w:r w:rsidR="006D7B65" w:rsidRPr="00EA090D">
        <w:rPr>
          <w:rFonts w:eastAsia="Times New Roman" w:cstheme="minorHAnsi"/>
          <w:sz w:val="20"/>
          <w:szCs w:val="20"/>
          <w:lang w:eastAsia="pt-BR"/>
        </w:rPr>
        <w:t xml:space="preserve"> do material</w:t>
      </w:r>
      <w:r w:rsidR="00C35A28" w:rsidRPr="00EA090D">
        <w:rPr>
          <w:rFonts w:eastAsia="Times New Roman" w:cstheme="minorHAnsi"/>
          <w:sz w:val="20"/>
          <w:szCs w:val="20"/>
          <w:lang w:eastAsia="pt-BR"/>
        </w:rPr>
        <w:t>/produto</w:t>
      </w:r>
      <w:r w:rsidR="006D7B65" w:rsidRPr="00EA090D">
        <w:rPr>
          <w:rFonts w:eastAsia="Times New Roman" w:cstheme="minorHAnsi"/>
          <w:sz w:val="20"/>
          <w:szCs w:val="20"/>
          <w:lang w:eastAsia="pt-BR"/>
        </w:rPr>
        <w:t>;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br/>
        <w:t>8</w:t>
      </w:r>
      <w:r w:rsidR="006D7B65" w:rsidRPr="00EA090D">
        <w:rPr>
          <w:rFonts w:eastAsia="Times New Roman" w:cstheme="minorHAnsi"/>
          <w:sz w:val="20"/>
          <w:szCs w:val="20"/>
          <w:lang w:eastAsia="pt-BR"/>
        </w:rPr>
        <w:t>- Prazo de entrega. 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br/>
        <w:t>9</w:t>
      </w:r>
      <w:r w:rsidRPr="00EA090D">
        <w:rPr>
          <w:rFonts w:eastAsia="Times New Roman" w:cstheme="minorHAnsi"/>
          <w:sz w:val="20"/>
          <w:szCs w:val="20"/>
          <w:lang w:eastAsia="pt-BR"/>
        </w:rPr>
        <w:t>- Data de validade da proposta;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br/>
        <w:t>10</w:t>
      </w:r>
      <w:r w:rsidRPr="00EA090D">
        <w:rPr>
          <w:rFonts w:eastAsia="Times New Roman" w:cstheme="minorHAnsi"/>
          <w:sz w:val="20"/>
          <w:szCs w:val="20"/>
          <w:lang w:eastAsia="pt-BR"/>
        </w:rPr>
        <w:t>- Assinatura do responsável pela empresa;</w:t>
      </w:r>
    </w:p>
    <w:p w14:paraId="101F2C3D" w14:textId="77777777" w:rsidR="00967CC1" w:rsidRPr="00EA090D" w:rsidRDefault="00967CC1" w:rsidP="00B01F1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20"/>
          <w:szCs w:val="20"/>
          <w:lang w:eastAsia="pt-BR"/>
        </w:rPr>
      </w:pPr>
      <w:r w:rsidRPr="00EA090D">
        <w:rPr>
          <w:rFonts w:eastAsia="Times New Roman" w:cstheme="minorHAnsi"/>
          <w:b/>
          <w:bCs/>
          <w:sz w:val="20"/>
          <w:szCs w:val="20"/>
          <w:u w:val="single"/>
          <w:lang w:eastAsia="pt-BR"/>
        </w:rPr>
        <w:t>A empresa detentora da proposta mais vantajosa, </w:t>
      </w:r>
      <w:r w:rsidRPr="00EA090D">
        <w:rPr>
          <w:rFonts w:eastAsia="Times New Roman" w:cstheme="minorHAnsi"/>
          <w:sz w:val="20"/>
          <w:szCs w:val="20"/>
          <w:lang w:eastAsia="pt-BR"/>
        </w:rPr>
        <w:t>será contatada por esta Administração para sequência</w:t>
      </w:r>
      <w:r w:rsidR="006D7B65" w:rsidRPr="00EA090D">
        <w:rPr>
          <w:rFonts w:eastAsia="Times New Roman" w:cstheme="minorHAnsi"/>
          <w:sz w:val="20"/>
          <w:szCs w:val="20"/>
          <w:lang w:eastAsia="pt-BR"/>
        </w:rPr>
        <w:t xml:space="preserve"> dos trâmites, visando, assim, à</w:t>
      </w:r>
      <w:r w:rsidRPr="00EA090D">
        <w:rPr>
          <w:rFonts w:eastAsia="Times New Roman" w:cstheme="minorHAnsi"/>
          <w:sz w:val="20"/>
          <w:szCs w:val="20"/>
          <w:lang w:eastAsia="pt-BR"/>
        </w:rPr>
        <w:t xml:space="preserve"> </w:t>
      </w:r>
      <w:r w:rsidR="006D7B65" w:rsidRPr="00EA090D">
        <w:rPr>
          <w:rFonts w:eastAsia="Times New Roman" w:cstheme="minorHAnsi"/>
          <w:sz w:val="20"/>
          <w:szCs w:val="20"/>
          <w:lang w:eastAsia="pt-BR"/>
        </w:rPr>
        <w:t>aquisição.</w:t>
      </w:r>
    </w:p>
    <w:p w14:paraId="16F0C8D9" w14:textId="5DB20A00" w:rsidR="00FD2360" w:rsidRPr="00EA090D" w:rsidRDefault="00FD2360" w:rsidP="00FD2360">
      <w:pPr>
        <w:shd w:val="clear" w:color="auto" w:fill="FBFBFB"/>
        <w:spacing w:after="300" w:line="240" w:lineRule="auto"/>
        <w:ind w:firstLine="851"/>
        <w:jc w:val="right"/>
        <w:textAlignment w:val="baseline"/>
        <w:rPr>
          <w:rFonts w:eastAsia="Times New Roman" w:cstheme="minorHAnsi"/>
          <w:sz w:val="20"/>
          <w:szCs w:val="20"/>
          <w:lang w:eastAsia="pt-BR"/>
        </w:rPr>
      </w:pPr>
      <w:r w:rsidRPr="00EA090D">
        <w:rPr>
          <w:rFonts w:eastAsia="Times New Roman" w:cstheme="minorHAnsi"/>
          <w:sz w:val="20"/>
          <w:szCs w:val="20"/>
          <w:lang w:eastAsia="pt-BR"/>
        </w:rPr>
        <w:t xml:space="preserve">Santo Augusto, </w:t>
      </w:r>
      <w:r w:rsidR="008E07EA">
        <w:rPr>
          <w:rFonts w:eastAsia="Times New Roman" w:cstheme="minorHAnsi"/>
          <w:sz w:val="20"/>
          <w:szCs w:val="20"/>
          <w:lang w:eastAsia="pt-BR"/>
        </w:rPr>
        <w:t>11</w:t>
      </w:r>
      <w:r w:rsidR="00AB7364" w:rsidRPr="00EA090D">
        <w:rPr>
          <w:rFonts w:eastAsia="Times New Roman" w:cstheme="minorHAnsi"/>
          <w:sz w:val="20"/>
          <w:szCs w:val="20"/>
          <w:lang w:eastAsia="pt-BR"/>
        </w:rPr>
        <w:t xml:space="preserve"> de </w:t>
      </w:r>
      <w:r w:rsidR="008E07EA">
        <w:rPr>
          <w:rFonts w:eastAsia="Times New Roman" w:cstheme="minorHAnsi"/>
          <w:sz w:val="20"/>
          <w:szCs w:val="20"/>
          <w:lang w:eastAsia="pt-BR"/>
        </w:rPr>
        <w:t>dezembro</w:t>
      </w:r>
      <w:r w:rsidRPr="00EA090D">
        <w:rPr>
          <w:rFonts w:eastAsia="Times New Roman" w:cstheme="minorHAnsi"/>
          <w:sz w:val="20"/>
          <w:szCs w:val="20"/>
          <w:lang w:eastAsia="pt-BR"/>
        </w:rPr>
        <w:t xml:space="preserve"> de 202</w:t>
      </w:r>
      <w:r w:rsidR="00AE2574" w:rsidRPr="00EA090D">
        <w:rPr>
          <w:rFonts w:eastAsia="Times New Roman" w:cstheme="minorHAnsi"/>
          <w:sz w:val="20"/>
          <w:szCs w:val="20"/>
          <w:lang w:eastAsia="pt-BR"/>
        </w:rPr>
        <w:t>5</w:t>
      </w:r>
      <w:r w:rsidRPr="00EA090D">
        <w:rPr>
          <w:rFonts w:eastAsia="Times New Roman" w:cstheme="minorHAnsi"/>
          <w:sz w:val="20"/>
          <w:szCs w:val="20"/>
          <w:lang w:eastAsia="pt-BR"/>
        </w:rPr>
        <w:t>.</w:t>
      </w:r>
    </w:p>
    <w:p w14:paraId="332B7E9A" w14:textId="77777777" w:rsidR="00AB7364" w:rsidRPr="00EA090D" w:rsidRDefault="00AB7364" w:rsidP="00EA090D">
      <w:pPr>
        <w:shd w:val="clear" w:color="auto" w:fill="FBFBFB"/>
        <w:spacing w:after="300" w:line="240" w:lineRule="auto"/>
        <w:textAlignment w:val="baseline"/>
        <w:rPr>
          <w:rFonts w:eastAsia="Times New Roman" w:cstheme="minorHAnsi"/>
          <w:sz w:val="20"/>
          <w:szCs w:val="20"/>
          <w:lang w:eastAsia="pt-BR"/>
        </w:rPr>
      </w:pPr>
    </w:p>
    <w:p w14:paraId="26A49896" w14:textId="4A24958E" w:rsidR="00FD2360" w:rsidRPr="001D501D" w:rsidRDefault="00AE257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EA090D">
        <w:rPr>
          <w:rFonts w:eastAsia="Times New Roman" w:cstheme="minorHAnsi"/>
          <w:sz w:val="20"/>
          <w:szCs w:val="20"/>
          <w:lang w:eastAsia="pt-BR"/>
        </w:rPr>
        <w:t xml:space="preserve">Umberto </w:t>
      </w:r>
      <w:proofErr w:type="spellStart"/>
      <w:r w:rsidRPr="00EA090D">
        <w:rPr>
          <w:rFonts w:eastAsia="Times New Roman" w:cstheme="minorHAnsi"/>
          <w:sz w:val="20"/>
          <w:szCs w:val="20"/>
          <w:lang w:eastAsia="pt-BR"/>
        </w:rPr>
        <w:t>Luis</w:t>
      </w:r>
      <w:proofErr w:type="spellEnd"/>
      <w:r w:rsidRPr="00EA090D">
        <w:rPr>
          <w:rFonts w:eastAsia="Times New Roman" w:cstheme="minorHAnsi"/>
          <w:sz w:val="20"/>
          <w:szCs w:val="20"/>
          <w:lang w:eastAsia="pt-BR"/>
        </w:rPr>
        <w:t xml:space="preserve"> R. Tassi</w:t>
      </w:r>
      <w:r w:rsidR="00FD2360" w:rsidRPr="00EA090D">
        <w:rPr>
          <w:rFonts w:eastAsia="Times New Roman" w:cstheme="minorHAnsi"/>
          <w:sz w:val="20"/>
          <w:szCs w:val="20"/>
          <w:lang w:eastAsia="pt-BR"/>
        </w:rPr>
        <w:br/>
        <w:t>Secretário Municipal de Administração</w:t>
      </w:r>
    </w:p>
    <w:sectPr w:rsidR="00FD2360" w:rsidRPr="001D501D" w:rsidSect="008E07EA"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dobe Devanagari">
    <w:altName w:val="Cambria Math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44BEC"/>
    <w:multiLevelType w:val="multilevel"/>
    <w:tmpl w:val="A66A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39132E"/>
    <w:multiLevelType w:val="multilevel"/>
    <w:tmpl w:val="E19EF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172D60"/>
    <w:multiLevelType w:val="multilevel"/>
    <w:tmpl w:val="03C27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821A26"/>
    <w:multiLevelType w:val="multilevel"/>
    <w:tmpl w:val="B0CCF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F0E05A0"/>
    <w:multiLevelType w:val="multilevel"/>
    <w:tmpl w:val="E02C7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7530546">
    <w:abstractNumId w:val="4"/>
  </w:num>
  <w:num w:numId="2" w16cid:durableId="1644508851">
    <w:abstractNumId w:val="0"/>
  </w:num>
  <w:num w:numId="3" w16cid:durableId="1858690022">
    <w:abstractNumId w:val="2"/>
  </w:num>
  <w:num w:numId="4" w16cid:durableId="1590652971">
    <w:abstractNumId w:val="3"/>
  </w:num>
  <w:num w:numId="5" w16cid:durableId="17939832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CC1"/>
    <w:rsid w:val="00022273"/>
    <w:rsid w:val="001D501D"/>
    <w:rsid w:val="00237661"/>
    <w:rsid w:val="003601F9"/>
    <w:rsid w:val="004811E1"/>
    <w:rsid w:val="00491E64"/>
    <w:rsid w:val="00534970"/>
    <w:rsid w:val="0056776D"/>
    <w:rsid w:val="006D7B65"/>
    <w:rsid w:val="00784346"/>
    <w:rsid w:val="007D3BB6"/>
    <w:rsid w:val="00826A29"/>
    <w:rsid w:val="00861F21"/>
    <w:rsid w:val="0087140F"/>
    <w:rsid w:val="008E07EA"/>
    <w:rsid w:val="00967CC1"/>
    <w:rsid w:val="00AB7364"/>
    <w:rsid w:val="00AE2574"/>
    <w:rsid w:val="00B01F16"/>
    <w:rsid w:val="00B13B2B"/>
    <w:rsid w:val="00BD0361"/>
    <w:rsid w:val="00C35A28"/>
    <w:rsid w:val="00D85432"/>
    <w:rsid w:val="00D8562A"/>
    <w:rsid w:val="00DC04D9"/>
    <w:rsid w:val="00EA090D"/>
    <w:rsid w:val="00EA1EE3"/>
    <w:rsid w:val="00EF0B74"/>
    <w:rsid w:val="00FD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F91ED"/>
  <w15:chartTrackingRefBased/>
  <w15:docId w15:val="{1A10D4E8-1B16-4353-9819-45323351E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7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67CC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67CC1"/>
    <w:rPr>
      <w:b/>
      <w:bCs/>
    </w:rPr>
  </w:style>
  <w:style w:type="character" w:styleId="nfase">
    <w:name w:val="Emphasis"/>
    <w:basedOn w:val="Fontepargpadro"/>
    <w:uiPriority w:val="20"/>
    <w:qFormat/>
    <w:rsid w:val="00967CC1"/>
    <w:rPr>
      <w:i/>
      <w:iCs/>
    </w:rPr>
  </w:style>
  <w:style w:type="table" w:styleId="Tabelacomgrade">
    <w:name w:val="Table Grid"/>
    <w:basedOn w:val="Tabelanormal"/>
    <w:rsid w:val="00967C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5A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5A28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8E07EA"/>
    <w:pPr>
      <w:widowControl w:val="0"/>
      <w:autoSpaceDE w:val="0"/>
      <w:autoSpaceDN w:val="0"/>
      <w:spacing w:after="0" w:line="240" w:lineRule="auto"/>
      <w:ind w:left="106"/>
    </w:pPr>
    <w:rPr>
      <w:rFonts w:ascii="Calibri" w:eastAsia="Calibri" w:hAnsi="Calibri" w:cs="Calibri"/>
      <w:lang w:val="pt-PT"/>
    </w:rPr>
  </w:style>
  <w:style w:type="paragraph" w:customStyle="1" w:styleId="Contedodatabela">
    <w:name w:val="Conteúdo da tabela"/>
    <w:basedOn w:val="Normal"/>
    <w:qFormat/>
    <w:rsid w:val="008E07EA"/>
    <w:pPr>
      <w:widowControl w:val="0"/>
      <w:suppressLineNumbers/>
      <w:suppressAutoHyphens/>
      <w:spacing w:after="0" w:line="240" w:lineRule="auto"/>
    </w:pPr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03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ompras@santoaugusto.rs.gov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728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Prefeitura de Santo Augusto</cp:lastModifiedBy>
  <cp:revision>2</cp:revision>
  <cp:lastPrinted>2024-05-09T12:43:00Z</cp:lastPrinted>
  <dcterms:created xsi:type="dcterms:W3CDTF">2025-12-11T12:32:00Z</dcterms:created>
  <dcterms:modified xsi:type="dcterms:W3CDTF">2025-12-11T12:32:00Z</dcterms:modified>
</cp:coreProperties>
</file>